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0"/>
        <w:jc w:val="center"/>
        <w:rPr>
          <w:rFonts w:ascii="微软雅黑" w:hAnsi="微软雅黑" w:eastAsia="微软雅黑" w:cs="微软雅黑"/>
          <w:b/>
          <w:bCs/>
          <w:i w:val="0"/>
          <w:iCs w:val="0"/>
          <w:caps w:val="0"/>
          <w:color w:val="333333"/>
          <w:spacing w:val="0"/>
          <w:sz w:val="32"/>
          <w:szCs w:val="32"/>
          <w:u w:val="none"/>
        </w:rPr>
      </w:pPr>
      <w:r>
        <w:rPr>
          <w:rFonts w:hint="eastAsia" w:ascii="微软雅黑" w:hAnsi="微软雅黑" w:eastAsia="微软雅黑" w:cs="微软雅黑"/>
          <w:b/>
          <w:bCs/>
          <w:i w:val="0"/>
          <w:iCs w:val="0"/>
          <w:caps w:val="0"/>
          <w:color w:val="333333"/>
          <w:spacing w:val="0"/>
          <w:sz w:val="32"/>
          <w:szCs w:val="32"/>
          <w:u w:val="none"/>
          <w:bdr w:val="none" w:color="auto" w:sz="0" w:space="0"/>
          <w:shd w:val="clear" w:fill="FFFFFF"/>
        </w:rPr>
        <w:t>中华人民共和国财政部令第101号</w:t>
      </w:r>
      <w:r>
        <w:rPr>
          <w:rFonts w:hint="eastAsia" w:ascii="微软雅黑" w:hAnsi="微软雅黑" w:eastAsia="微软雅黑" w:cs="微软雅黑"/>
          <w:b/>
          <w:bCs/>
          <w:i w:val="0"/>
          <w:iCs w:val="0"/>
          <w:caps w:val="0"/>
          <w:color w:val="333333"/>
          <w:spacing w:val="0"/>
          <w:sz w:val="32"/>
          <w:szCs w:val="32"/>
          <w:u w:val="none"/>
          <w:bdr w:val="none" w:color="auto" w:sz="0" w:space="0"/>
          <w:shd w:val="clear" w:fill="FFFFFF"/>
        </w:rPr>
        <w:br w:type="textWrapping"/>
      </w:r>
      <w:r>
        <w:rPr>
          <w:rFonts w:hint="eastAsia" w:ascii="微软雅黑" w:hAnsi="微软雅黑" w:eastAsia="微软雅黑" w:cs="微软雅黑"/>
          <w:b/>
          <w:bCs/>
          <w:i w:val="0"/>
          <w:iCs w:val="0"/>
          <w:caps w:val="0"/>
          <w:color w:val="333333"/>
          <w:spacing w:val="0"/>
          <w:sz w:val="32"/>
          <w:szCs w:val="32"/>
          <w:u w:val="none"/>
          <w:bdr w:val="none" w:color="auto" w:sz="0" w:space="0"/>
          <w:shd w:val="clear" w:fill="FFFFFF"/>
        </w:rPr>
        <w:t>--政府采购信息发布管理办法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bdr w:val="none" w:color="auto" w:sz="0" w:space="0"/>
          <w:shd w:val="clear" w:fill="FFFFFF"/>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《政府采购信息发布管理办法》已经财政部部务会议审议通过，现予公布，自2020年3月1日起施行。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bookmarkStart w:id="0" w:name="_GoBack"/>
      <w:bookmarkEnd w:id="0"/>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部长 刘昆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Fonts w:hint="eastAsia" w:ascii="微软雅黑" w:hAnsi="微软雅黑" w:eastAsia="微软雅黑" w:cs="微软雅黑"/>
          <w:i w:val="0"/>
          <w:iCs w:val="0"/>
          <w:caps w:val="0"/>
          <w:color w:val="000000"/>
          <w:spacing w:val="0"/>
          <w:sz w:val="27"/>
          <w:szCs w:val="27"/>
          <w:u w:val="none"/>
          <w:bdr w:val="none" w:color="auto" w:sz="0" w:space="0"/>
          <w:shd w:val="clear" w:fill="FFFFFF"/>
          <w:lang w:val="en-US" w:eastAsia="zh-CN"/>
        </w:rPr>
        <w:t xml:space="preserve"> </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2019年11月27日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u w:val="none"/>
          <w:bdr w:val="none" w:color="auto" w:sz="0" w:space="0"/>
          <w:shd w:val="clear" w:fill="FFFFFF"/>
        </w:rPr>
        <w:t>　政府采购信息发布管理办法</w:t>
      </w: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第一条　为了规范政府采购信息发布行为，提高政府采购透明度，根据《中华人民共和国政府采购法》《中华人民共和国政府采购法实施条例》等有关法律、行政法规，制定本办法。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第二条　政府采购信息发布，适用本办法。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第三条　本办法所称政府采购信息，是指依照政府采购有关法律制度规定应予公开的公开招标公告、资格预审公告、单一来源采购公示、中标（成交）结果公告、政府采购合同公告等政府采购项目信息，以及投诉处理结果、监督检查处理结果、集中采购机构考核结果等政府采购监管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第四条　政府采购信息发布应当遵循格式规范统一、渠道相对集中、便于查找获得的原则。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第五条　财政部指导和协调全国政府采购信息发布工作，并依照政府采购法律、行政法规有关规定，对中央预算单位的政府采购信息发布活动进行监督管理。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地方各级人民政府财政部门（以下简称财政部门）对本级预算单位的政府采购信息发布活动进行监督管理。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第六条  财政部对中国政府采购网进行监督管理。省级（自治区、直辖市、计划单列市）财政部门对中国政府采购网省级分网进行监督管理。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第七条　政府采购信息应当按照财政部规定的格式编制。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第八条　中央预算单位政府采购信息应当在中国政府采购网发布，地方预算单位政府采购信息应当在所在行政区域的中国政府采购网省级分网发布。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除中国政府采购网及其省级分网以外，政府采购信息可以在省级以上财政部门指定的其他媒体同步发布。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第九条　财政部门、采购人和其委托的采购代理机构（以下统称发布主体）应当对其提供的政府采购信息的真实性、准确性、合法性负责。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中国政府采购网及其省级分网和省级以上财政部门指定的其他媒体（以下统称指定媒体）应当对其收到的政府采购信息发布的及时性、完整性负责。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第十条　发布主体发布政府采购信息不得有虚假和误导性陈述，不得遗漏依法必须公开的事项。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第十一条　发布主体应当确保其在不同媒体发布的同一政府采购信息内容一致。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在不同媒体发布的同一政府采购信息内容、时间不一致的，以在中国政府采购网或者其省级分网发布的信息为准。同时在中国政府采购网和省级分网发布的，以在中国政府采购网上发布的信息为准。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第十二条　指定媒体应当采取必要措施，对政府采购信息发布主体的身份进行核验。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第十三条　指定媒体应当及时发布收到的政府采购信息。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中国政府采购网或者其省级分网应当自收到政府采购信息起1个工作日内发布。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第十四条　指定媒体应当加强安全防护，确保发布的政府采购信息不被篡改、不遗漏，不得擅自删除或者修改信息内容。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第十五条　指定媒体应当向发布主体免费提供信息发布服务，不得向市场主体和社会公众收取信息查阅费用。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第十六条　采购人或者其委托的采购代理机构未依法在指定媒体上发布政府采购项目信息的，依照政府采购法实施条例第六十八条追究法律责任。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第十七条  指定媒体违反本办法规定的，由实施指定行为的省级以上财政部门依法责令限期改正，对直接负责的主管人员和其他直接责任人员，建议其行政主管部门或者有关机关依法依规处理，并予通报。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第十八条　财政部门及其工作人员在政府采购信息发布活动中存在懒政怠政、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第十九条　涉密政府采购项目信息发布，依照国家有关规定执行。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第二十条　省级财政部门可以根据本办法制定具体实施办法。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u w:val="none"/>
        </w:rPr>
      </w:pPr>
      <w:r>
        <w:rPr>
          <w:rFonts w:hint="eastAsia" w:ascii="微软雅黑" w:hAnsi="微软雅黑" w:eastAsia="微软雅黑" w:cs="微软雅黑"/>
          <w:i w:val="0"/>
          <w:iCs w:val="0"/>
          <w:caps w:val="0"/>
          <w:color w:val="000000"/>
          <w:spacing w:val="0"/>
          <w:sz w:val="27"/>
          <w:szCs w:val="27"/>
          <w:u w:val="none"/>
          <w:bdr w:val="none" w:color="auto" w:sz="0" w:space="0"/>
          <w:shd w:val="clear" w:fill="FFFFFF"/>
        </w:rPr>
        <w:t>　　第二十一条　本办法自2020年3月1日起施行。财政部2004年9月11日颁布实施的《政府采购信息公告管理办法》（财政部令第19号）同时废止。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4C9A6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2023-11-13T02:29:58Z</dcterms:created>
  <dc:creator>Lenovo</dc:creator>
  <cp:lastModifiedBy>张钰</cp:lastModifiedBy>
  <dcterms:modified xsi:type="dcterms:W3CDTF">2023-11-13T02:31:30Z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09B26F527B60482C99FC1C9508784F16_12</vt:lpwstr>
  </property>
</Properties>
</file>